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283" w:rsidRPr="00B71261" w:rsidRDefault="00267283" w:rsidP="00B71261">
      <w:pPr>
        <w:pStyle w:val="Heading1"/>
        <w:rPr>
          <w:rFonts w:ascii="Segoe UI" w:eastAsia="Calibri" w:hAnsi="Segoe UI" w:cs="Segoe UI"/>
          <w:b/>
          <w:color w:val="auto"/>
          <w:sz w:val="24"/>
        </w:rPr>
      </w:pPr>
      <w:r w:rsidRPr="00B71261">
        <w:rPr>
          <w:rFonts w:ascii="Segoe UI" w:eastAsia="Calibri" w:hAnsi="Segoe UI" w:cs="Segoe UI"/>
          <w:b/>
          <w:color w:val="auto"/>
          <w:sz w:val="24"/>
        </w:rPr>
        <w:t>Fundamentals of Cell Biology</w:t>
      </w:r>
      <w:r w:rsidR="00B71261" w:rsidRPr="00B71261">
        <w:rPr>
          <w:rFonts w:ascii="Segoe UI" w:eastAsia="Calibri" w:hAnsi="Segoe UI" w:cs="Segoe UI"/>
          <w:b/>
          <w:color w:val="auto"/>
          <w:sz w:val="24"/>
        </w:rPr>
        <w:t xml:space="preserve"> </w:t>
      </w:r>
      <w:r w:rsidR="00B71261" w:rsidRPr="00B71261">
        <w:rPr>
          <w:rFonts w:ascii="Segoe UI" w:eastAsia="Calibri" w:hAnsi="Segoe UI" w:cs="Segoe UI"/>
          <w:b/>
          <w:color w:val="auto"/>
          <w:sz w:val="24"/>
        </w:rPr>
        <w:ptab w:relativeTo="margin" w:alignment="right" w:leader="none"/>
      </w:r>
      <w:r w:rsidRPr="00B71261">
        <w:rPr>
          <w:rFonts w:ascii="Segoe UI" w:eastAsia="Calibri" w:hAnsi="Segoe UI" w:cs="Segoe UI"/>
          <w:b/>
          <w:color w:val="auto"/>
          <w:sz w:val="24"/>
        </w:rPr>
        <w:t>Ch 16 Worksheet: Stem Cells</w:t>
      </w:r>
    </w:p>
    <w:p w:rsidR="00267283" w:rsidRPr="00E60B7C" w:rsidRDefault="00267283" w:rsidP="00267283">
      <w:pPr>
        <w:rPr>
          <w:rFonts w:ascii="Segoe UI" w:eastAsia="Calibri" w:hAnsi="Segoe UI" w:cs="Segoe UI"/>
          <w:sz w:val="24"/>
        </w:rPr>
      </w:pPr>
    </w:p>
    <w:p w:rsidR="00267283" w:rsidRPr="00B71261" w:rsidRDefault="00267283" w:rsidP="00B71261">
      <w:pPr>
        <w:pStyle w:val="Heading2"/>
        <w:rPr>
          <w:rFonts w:ascii="Segoe UI" w:eastAsia="Calibri" w:hAnsi="Segoe UI" w:cs="Segoe UI"/>
          <w:color w:val="auto"/>
          <w:sz w:val="24"/>
        </w:rPr>
      </w:pPr>
      <w:r w:rsidRPr="00B71261">
        <w:rPr>
          <w:rFonts w:ascii="Segoe UI" w:eastAsia="Calibri" w:hAnsi="Segoe UI" w:cs="Segoe UI"/>
          <w:color w:val="auto"/>
          <w:sz w:val="24"/>
        </w:rPr>
        <w:t xml:space="preserve">Learning Outcome(s): </w:t>
      </w:r>
    </w:p>
    <w:p w:rsidR="00267283" w:rsidRPr="00267283" w:rsidRDefault="00267283" w:rsidP="00267283">
      <w:pPr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eastAsia="Times New Roman" w:hAnsi="Segoe UI" w:cs="Segoe UI"/>
          <w:color w:val="000000"/>
          <w:sz w:val="24"/>
          <w:szCs w:val="24"/>
        </w:rPr>
      </w:pPr>
    </w:p>
    <w:p w:rsidR="00B71261" w:rsidRDefault="00267283" w:rsidP="00B71261">
      <w:pPr>
        <w:pStyle w:val="ListParagraph"/>
        <w:numPr>
          <w:ilvl w:val="0"/>
          <w:numId w:val="6"/>
        </w:numPr>
        <w:ind w:left="720" w:hanging="360"/>
        <w:rPr>
          <w:rFonts w:ascii="Segoe UI" w:eastAsia="Times New Roman" w:hAnsi="Segoe UI" w:cs="Segoe UI"/>
          <w:color w:val="000000"/>
          <w:sz w:val="24"/>
          <w:szCs w:val="24"/>
        </w:rPr>
      </w:pPr>
      <w:r w:rsidRPr="00B71261">
        <w:rPr>
          <w:rFonts w:ascii="Segoe UI" w:eastAsia="Times New Roman" w:hAnsi="Segoe UI" w:cs="Segoe UI"/>
          <w:color w:val="000000"/>
          <w:sz w:val="24"/>
          <w:szCs w:val="24"/>
        </w:rPr>
        <w:t>Compare and contrast the capabilities, locations and potential therapeutic application of stem cells when defined as pluripotent, multipotent, or totipotent and compare and contrast the process of self-renewal and differentiation of stem cells.</w:t>
      </w:r>
    </w:p>
    <w:p w:rsidR="00B71261" w:rsidRDefault="00B71261" w:rsidP="00B71261">
      <w:pPr>
        <w:pStyle w:val="ListParagraph"/>
        <w:rPr>
          <w:rFonts w:ascii="Segoe UI" w:eastAsia="Times New Roman" w:hAnsi="Segoe UI" w:cs="Segoe UI"/>
          <w:color w:val="000000"/>
          <w:sz w:val="24"/>
          <w:szCs w:val="24"/>
        </w:rPr>
      </w:pPr>
    </w:p>
    <w:p w:rsidR="00356E79" w:rsidRPr="00B71261" w:rsidRDefault="00A0107E" w:rsidP="00B71261">
      <w:pPr>
        <w:pStyle w:val="ListParagraph"/>
        <w:numPr>
          <w:ilvl w:val="0"/>
          <w:numId w:val="6"/>
        </w:numPr>
        <w:ind w:left="720" w:hanging="360"/>
        <w:rPr>
          <w:rFonts w:ascii="Segoe UI" w:eastAsia="Times New Roman" w:hAnsi="Segoe UI" w:cs="Segoe UI"/>
          <w:color w:val="000000"/>
          <w:sz w:val="24"/>
          <w:szCs w:val="24"/>
        </w:rPr>
      </w:pPr>
      <w:r w:rsidRPr="00B71261">
        <w:rPr>
          <w:rFonts w:ascii="Segoe UI" w:hAnsi="Segoe UI" w:cs="Segoe UI"/>
          <w:sz w:val="24"/>
          <w:szCs w:val="24"/>
        </w:rPr>
        <w:t>Define asymmetric cell division in regards to stem cells.</w:t>
      </w:r>
    </w:p>
    <w:p w:rsidR="00B71261" w:rsidRPr="00B71261" w:rsidRDefault="00B71261" w:rsidP="00B71261">
      <w:pPr>
        <w:pStyle w:val="ListParagraph"/>
        <w:rPr>
          <w:rFonts w:ascii="Segoe UI" w:eastAsia="Times New Roman" w:hAnsi="Segoe UI" w:cs="Segoe UI"/>
          <w:color w:val="000000"/>
          <w:sz w:val="24"/>
          <w:szCs w:val="24"/>
        </w:rPr>
      </w:pPr>
    </w:p>
    <w:p w:rsidR="00B71261" w:rsidRPr="00B71261" w:rsidRDefault="00B71261" w:rsidP="00B71261">
      <w:pPr>
        <w:pStyle w:val="ListParagraph"/>
        <w:rPr>
          <w:rFonts w:ascii="Segoe UI" w:eastAsia="Times New Roman" w:hAnsi="Segoe UI" w:cs="Segoe UI"/>
          <w:color w:val="000000"/>
          <w:sz w:val="24"/>
          <w:szCs w:val="24"/>
        </w:rPr>
      </w:pPr>
    </w:p>
    <w:p w:rsidR="00B71261" w:rsidRDefault="00356E79" w:rsidP="00B71261">
      <w:pPr>
        <w:pStyle w:val="ListParagraph"/>
        <w:numPr>
          <w:ilvl w:val="0"/>
          <w:numId w:val="1"/>
        </w:numPr>
        <w:ind w:left="720"/>
        <w:rPr>
          <w:rFonts w:ascii="Segoe UI" w:hAnsi="Segoe UI" w:cs="Segoe UI"/>
          <w:sz w:val="24"/>
          <w:szCs w:val="24"/>
        </w:rPr>
      </w:pPr>
      <w:r w:rsidRPr="00267283">
        <w:rPr>
          <w:rFonts w:ascii="Segoe UI" w:hAnsi="Segoe UI" w:cs="Segoe UI"/>
          <w:sz w:val="24"/>
          <w:szCs w:val="24"/>
        </w:rPr>
        <w:t>During embryonic development, mitosis is called “cleavage”, why is cleavage different to normal mitosis?</w:t>
      </w:r>
      <w:r w:rsidR="00A0107E" w:rsidRPr="00267283">
        <w:rPr>
          <w:rFonts w:ascii="Segoe UI" w:hAnsi="Segoe UI" w:cs="Segoe UI"/>
          <w:noProof/>
          <w:sz w:val="24"/>
          <w:szCs w:val="24"/>
        </w:rPr>
        <w:t xml:space="preserve"> </w:t>
      </w:r>
    </w:p>
    <w:p w:rsidR="00B71261" w:rsidRDefault="00B71261" w:rsidP="00B71261">
      <w:pPr>
        <w:pStyle w:val="ListParagraph"/>
        <w:rPr>
          <w:rFonts w:ascii="Segoe UI" w:hAnsi="Segoe UI" w:cs="Segoe UI"/>
          <w:sz w:val="24"/>
          <w:szCs w:val="24"/>
        </w:rPr>
      </w:pPr>
    </w:p>
    <w:p w:rsidR="00B71261" w:rsidRDefault="00A0107E" w:rsidP="00B71261">
      <w:pPr>
        <w:pStyle w:val="ListParagraph"/>
        <w:numPr>
          <w:ilvl w:val="0"/>
          <w:numId w:val="1"/>
        </w:numPr>
        <w:ind w:left="720"/>
        <w:rPr>
          <w:rFonts w:ascii="Segoe UI" w:hAnsi="Segoe UI" w:cs="Segoe UI"/>
          <w:sz w:val="24"/>
          <w:szCs w:val="24"/>
        </w:rPr>
      </w:pPr>
      <w:r w:rsidRPr="00B71261">
        <w:rPr>
          <w:rFonts w:ascii="Segoe UI" w:hAnsi="Segoe UI" w:cs="Segoe UI"/>
          <w:sz w:val="24"/>
          <w:szCs w:val="24"/>
        </w:rPr>
        <w:t>The image below shows a blastocyst. Describe the purpose/fate of the trophoblast and the inner cell mass.</w:t>
      </w:r>
    </w:p>
    <w:p w:rsidR="00B71261" w:rsidRPr="00B71261" w:rsidRDefault="00B71261" w:rsidP="00B71261">
      <w:pPr>
        <w:pStyle w:val="ListParagraph"/>
        <w:rPr>
          <w:rFonts w:ascii="Segoe UI" w:hAnsi="Segoe UI" w:cs="Segoe UI"/>
          <w:sz w:val="24"/>
          <w:szCs w:val="24"/>
        </w:rPr>
      </w:pPr>
    </w:p>
    <w:p w:rsidR="00B71261" w:rsidRDefault="00B71261" w:rsidP="00B71261">
      <w:pPr>
        <w:pStyle w:val="ListParagraph"/>
        <w:rPr>
          <w:rFonts w:ascii="Segoe UI" w:hAnsi="Segoe UI" w:cs="Segoe UI"/>
          <w:sz w:val="24"/>
          <w:szCs w:val="24"/>
        </w:rPr>
      </w:pPr>
      <w:r w:rsidRPr="00267283">
        <w:rPr>
          <w:noProof/>
        </w:rPr>
        <w:drawing>
          <wp:inline distT="0" distB="0" distL="0" distR="0" wp14:anchorId="54B66D3B" wp14:editId="75895D4D">
            <wp:extent cx="1372105" cy="1131107"/>
            <wp:effectExtent l="0" t="0" r="0" b="0"/>
            <wp:docPr id="7" name="image6.jpg" descr="Image of the blastocyst, which contains the outer cell layer, the trophoblast that will become the placenta and the inner cell mass that will develop into the embryo." title="Fig 1-5. The blastocy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jpg" descr="Image of the blastocyst, which contains the outer cell layer, the trophoblast that will become the placenta and the inner cell mass that will develop into the embryo." title="Fig 1-5. The blastocyst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578" cy="115128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71261" w:rsidRPr="00B71261" w:rsidRDefault="00B71261" w:rsidP="00B71261">
      <w:pPr>
        <w:pStyle w:val="ListParagraph"/>
        <w:rPr>
          <w:rFonts w:ascii="Segoe UI" w:hAnsi="Segoe UI" w:cs="Segoe UI"/>
          <w:color w:val="231F20"/>
          <w:sz w:val="24"/>
          <w:szCs w:val="24"/>
        </w:rPr>
      </w:pPr>
    </w:p>
    <w:p w:rsidR="007F7C46" w:rsidRPr="00B71261" w:rsidRDefault="00A0107E" w:rsidP="00B71261">
      <w:pPr>
        <w:pStyle w:val="ListParagraph"/>
        <w:numPr>
          <w:ilvl w:val="0"/>
          <w:numId w:val="1"/>
        </w:numPr>
        <w:ind w:left="720"/>
        <w:rPr>
          <w:rFonts w:ascii="Segoe UI" w:hAnsi="Segoe UI" w:cs="Segoe UI"/>
          <w:sz w:val="24"/>
          <w:szCs w:val="24"/>
        </w:rPr>
      </w:pPr>
      <w:r w:rsidRPr="00B71261">
        <w:rPr>
          <w:rFonts w:ascii="Segoe UI" w:hAnsi="Segoe UI" w:cs="Segoe UI"/>
          <w:color w:val="231F20"/>
          <w:sz w:val="24"/>
          <w:szCs w:val="24"/>
        </w:rPr>
        <w:t>Fill in the chart below</w:t>
      </w:r>
      <w:r w:rsidR="007F7C46" w:rsidRPr="00B71261">
        <w:rPr>
          <w:rFonts w:ascii="Segoe UI" w:hAnsi="Segoe UI" w:cs="Segoe UI"/>
          <w:color w:val="231F20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5"/>
        <w:gridCol w:w="3870"/>
        <w:gridCol w:w="2617"/>
      </w:tblGrid>
      <w:tr w:rsidR="00A0107E" w:rsidRPr="00267283" w:rsidTr="00267283">
        <w:trPr>
          <w:trHeight w:val="530"/>
        </w:trPr>
        <w:tc>
          <w:tcPr>
            <w:tcW w:w="4045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b/>
                <w:sz w:val="24"/>
                <w:szCs w:val="24"/>
                <w:u w:val="single"/>
              </w:rPr>
            </w:pPr>
            <w:r w:rsidRPr="00267283">
              <w:rPr>
                <w:rFonts w:ascii="Segoe UI" w:hAnsi="Segoe UI" w:cs="Segoe UI"/>
                <w:b/>
                <w:sz w:val="24"/>
                <w:szCs w:val="24"/>
                <w:u w:val="single"/>
              </w:rPr>
              <w:t>Type of Stem Cell</w:t>
            </w:r>
          </w:p>
        </w:tc>
        <w:tc>
          <w:tcPr>
            <w:tcW w:w="3870" w:type="dxa"/>
          </w:tcPr>
          <w:p w:rsidR="00A0107E" w:rsidRPr="00267283" w:rsidRDefault="00267283" w:rsidP="00A0107E">
            <w:pPr>
              <w:rPr>
                <w:rFonts w:ascii="Segoe UI" w:hAnsi="Segoe UI" w:cs="Segoe UI"/>
                <w:b/>
                <w:sz w:val="24"/>
                <w:szCs w:val="24"/>
                <w:u w:val="single"/>
              </w:rPr>
            </w:pPr>
            <w:r>
              <w:rPr>
                <w:rFonts w:ascii="Segoe UI" w:hAnsi="Segoe UI" w:cs="Segoe UI"/>
                <w:b/>
                <w:sz w:val="24"/>
                <w:szCs w:val="24"/>
                <w:u w:val="single"/>
              </w:rPr>
              <w:t>Define this type of cell</w:t>
            </w:r>
          </w:p>
        </w:tc>
        <w:tc>
          <w:tcPr>
            <w:tcW w:w="2617" w:type="dxa"/>
          </w:tcPr>
          <w:p w:rsidR="00A0107E" w:rsidRPr="00267283" w:rsidRDefault="00A0107E" w:rsidP="00A0107E">
            <w:pPr>
              <w:jc w:val="center"/>
              <w:rPr>
                <w:rFonts w:ascii="Segoe UI" w:hAnsi="Segoe UI" w:cs="Segoe UI"/>
                <w:b/>
                <w:sz w:val="24"/>
                <w:szCs w:val="24"/>
                <w:u w:val="single"/>
              </w:rPr>
            </w:pPr>
            <w:r w:rsidRPr="00267283">
              <w:rPr>
                <w:rFonts w:ascii="Segoe UI" w:hAnsi="Segoe UI" w:cs="Segoe UI"/>
                <w:b/>
                <w:sz w:val="24"/>
                <w:szCs w:val="24"/>
                <w:u w:val="single"/>
              </w:rPr>
              <w:t>One example</w:t>
            </w:r>
          </w:p>
        </w:tc>
      </w:tr>
      <w:tr w:rsidR="00A0107E" w:rsidRPr="00267283" w:rsidTr="00267283">
        <w:trPr>
          <w:trHeight w:val="445"/>
        </w:trPr>
        <w:tc>
          <w:tcPr>
            <w:tcW w:w="4045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  <w:r w:rsidRPr="00267283">
              <w:rPr>
                <w:rFonts w:ascii="Segoe UI" w:hAnsi="Segoe UI" w:cs="Segoe UI"/>
                <w:sz w:val="24"/>
                <w:szCs w:val="24"/>
              </w:rPr>
              <w:t>Pluripotent</w:t>
            </w:r>
          </w:p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870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617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A0107E" w:rsidRPr="00267283" w:rsidTr="00267283">
        <w:trPr>
          <w:trHeight w:val="418"/>
        </w:trPr>
        <w:tc>
          <w:tcPr>
            <w:tcW w:w="4045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  <w:r w:rsidRPr="00267283">
              <w:rPr>
                <w:rFonts w:ascii="Segoe UI" w:hAnsi="Segoe UI" w:cs="Segoe UI"/>
                <w:sz w:val="24"/>
                <w:szCs w:val="24"/>
              </w:rPr>
              <w:t>Totipotent</w:t>
            </w:r>
          </w:p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870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617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A0107E" w:rsidRPr="00267283" w:rsidTr="00267283">
        <w:trPr>
          <w:trHeight w:val="445"/>
        </w:trPr>
        <w:tc>
          <w:tcPr>
            <w:tcW w:w="4045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  <w:r w:rsidRPr="00267283">
              <w:rPr>
                <w:rFonts w:ascii="Segoe UI" w:hAnsi="Segoe UI" w:cs="Segoe UI"/>
                <w:sz w:val="24"/>
                <w:szCs w:val="24"/>
              </w:rPr>
              <w:t>Multipotent</w:t>
            </w:r>
          </w:p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870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617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A0107E" w:rsidRPr="00267283" w:rsidTr="00267283">
        <w:trPr>
          <w:trHeight w:val="445"/>
        </w:trPr>
        <w:tc>
          <w:tcPr>
            <w:tcW w:w="4045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  <w:proofErr w:type="spellStart"/>
            <w:r w:rsidRPr="00267283">
              <w:rPr>
                <w:rFonts w:ascii="Segoe UI" w:hAnsi="Segoe UI" w:cs="Segoe UI"/>
                <w:sz w:val="24"/>
                <w:szCs w:val="24"/>
              </w:rPr>
              <w:t>iPS</w:t>
            </w:r>
            <w:proofErr w:type="spellEnd"/>
            <w:r w:rsidRPr="00267283">
              <w:rPr>
                <w:rFonts w:ascii="Segoe UI" w:hAnsi="Segoe UI" w:cs="Segoe UI"/>
                <w:sz w:val="24"/>
                <w:szCs w:val="24"/>
              </w:rPr>
              <w:t xml:space="preserve"> (induced pluripotent stem cells)</w:t>
            </w:r>
          </w:p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870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617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A0107E" w:rsidRPr="00267283" w:rsidTr="00267283">
        <w:trPr>
          <w:trHeight w:val="418"/>
        </w:trPr>
        <w:tc>
          <w:tcPr>
            <w:tcW w:w="4045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  <w:r w:rsidRPr="00267283">
              <w:rPr>
                <w:rFonts w:ascii="Segoe UI" w:hAnsi="Segoe UI" w:cs="Segoe UI"/>
                <w:sz w:val="24"/>
                <w:szCs w:val="24"/>
              </w:rPr>
              <w:t>Hematopoietic</w:t>
            </w:r>
          </w:p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870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617" w:type="dxa"/>
          </w:tcPr>
          <w:p w:rsidR="00A0107E" w:rsidRPr="00267283" w:rsidRDefault="00A0107E" w:rsidP="00A0107E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:rsidR="00356E79" w:rsidRPr="00267283" w:rsidRDefault="00356E79" w:rsidP="00267283">
      <w:pPr>
        <w:rPr>
          <w:rFonts w:ascii="Segoe UI" w:hAnsi="Segoe UI" w:cs="Segoe UI"/>
          <w:sz w:val="24"/>
          <w:szCs w:val="24"/>
        </w:rPr>
      </w:pPr>
      <w:bookmarkStart w:id="0" w:name="_GoBack"/>
      <w:bookmarkEnd w:id="0"/>
    </w:p>
    <w:sectPr w:rsidR="00356E79" w:rsidRPr="00267283" w:rsidSect="00D347F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85E"/>
    <w:multiLevelType w:val="hybridMultilevel"/>
    <w:tmpl w:val="975643D0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AA21609"/>
    <w:multiLevelType w:val="hybridMultilevel"/>
    <w:tmpl w:val="0CBE2914"/>
    <w:lvl w:ilvl="0" w:tplc="5634A2C6">
      <w:start w:val="12"/>
      <w:numFmt w:val="decimal"/>
      <w:lvlText w:val="%1."/>
      <w:lvlJc w:val="left"/>
      <w:pPr>
        <w:ind w:left="2039" w:hanging="420"/>
      </w:pPr>
      <w:rPr>
        <w:rFonts w:hint="default"/>
        <w:spacing w:val="-15"/>
        <w:w w:val="100"/>
      </w:rPr>
    </w:lvl>
    <w:lvl w:ilvl="1" w:tplc="100AB0C2">
      <w:start w:val="1"/>
      <w:numFmt w:val="lowerLetter"/>
      <w:lvlText w:val="%2."/>
      <w:lvlJc w:val="left"/>
      <w:pPr>
        <w:ind w:left="2340" w:hanging="300"/>
      </w:pPr>
      <w:rPr>
        <w:rFonts w:ascii="Adobe Garamond Pro" w:eastAsia="Adobe Garamond Pro" w:hAnsi="Adobe Garamond Pro" w:cs="Adobe Garamond Pro" w:hint="default"/>
        <w:i/>
        <w:color w:val="231F20"/>
        <w:spacing w:val="-3"/>
        <w:w w:val="100"/>
        <w:sz w:val="24"/>
        <w:szCs w:val="24"/>
      </w:rPr>
    </w:lvl>
    <w:lvl w:ilvl="2" w:tplc="7D082002">
      <w:numFmt w:val="bullet"/>
      <w:lvlText w:val="•"/>
      <w:lvlJc w:val="left"/>
      <w:pPr>
        <w:ind w:left="3317" w:hanging="300"/>
      </w:pPr>
      <w:rPr>
        <w:rFonts w:hint="default"/>
      </w:rPr>
    </w:lvl>
    <w:lvl w:ilvl="3" w:tplc="3AC86618">
      <w:numFmt w:val="bullet"/>
      <w:lvlText w:val="•"/>
      <w:lvlJc w:val="left"/>
      <w:pPr>
        <w:ind w:left="4295" w:hanging="300"/>
      </w:pPr>
      <w:rPr>
        <w:rFonts w:hint="default"/>
      </w:rPr>
    </w:lvl>
    <w:lvl w:ilvl="4" w:tplc="3C6E9F14">
      <w:numFmt w:val="bullet"/>
      <w:lvlText w:val="•"/>
      <w:lvlJc w:val="left"/>
      <w:pPr>
        <w:ind w:left="5273" w:hanging="300"/>
      </w:pPr>
      <w:rPr>
        <w:rFonts w:hint="default"/>
      </w:rPr>
    </w:lvl>
    <w:lvl w:ilvl="5" w:tplc="595ED128">
      <w:numFmt w:val="bullet"/>
      <w:lvlText w:val="•"/>
      <w:lvlJc w:val="left"/>
      <w:pPr>
        <w:ind w:left="6251" w:hanging="300"/>
      </w:pPr>
      <w:rPr>
        <w:rFonts w:hint="default"/>
      </w:rPr>
    </w:lvl>
    <w:lvl w:ilvl="6" w:tplc="910AC6B8">
      <w:numFmt w:val="bullet"/>
      <w:lvlText w:val="•"/>
      <w:lvlJc w:val="left"/>
      <w:pPr>
        <w:ind w:left="7228" w:hanging="300"/>
      </w:pPr>
      <w:rPr>
        <w:rFonts w:hint="default"/>
      </w:rPr>
    </w:lvl>
    <w:lvl w:ilvl="7" w:tplc="1A523246">
      <w:numFmt w:val="bullet"/>
      <w:lvlText w:val="•"/>
      <w:lvlJc w:val="left"/>
      <w:pPr>
        <w:ind w:left="8206" w:hanging="300"/>
      </w:pPr>
      <w:rPr>
        <w:rFonts w:hint="default"/>
      </w:rPr>
    </w:lvl>
    <w:lvl w:ilvl="8" w:tplc="20F83378">
      <w:numFmt w:val="bullet"/>
      <w:lvlText w:val="•"/>
      <w:lvlJc w:val="left"/>
      <w:pPr>
        <w:ind w:left="9184" w:hanging="300"/>
      </w:pPr>
      <w:rPr>
        <w:rFonts w:hint="default"/>
      </w:rPr>
    </w:lvl>
  </w:abstractNum>
  <w:abstractNum w:abstractNumId="2" w15:restartNumberingAfterBreak="0">
    <w:nsid w:val="204F1EDB"/>
    <w:multiLevelType w:val="hybridMultilevel"/>
    <w:tmpl w:val="23EEB820"/>
    <w:lvl w:ilvl="0" w:tplc="9F4CC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316A43"/>
    <w:multiLevelType w:val="hybridMultilevel"/>
    <w:tmpl w:val="4EB62598"/>
    <w:lvl w:ilvl="0" w:tplc="04090017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7AC11DBB"/>
    <w:multiLevelType w:val="hybridMultilevel"/>
    <w:tmpl w:val="679070FC"/>
    <w:lvl w:ilvl="0" w:tplc="F48E885E">
      <w:start w:val="1"/>
      <w:numFmt w:val="decimal"/>
      <w:lvlText w:val="%1."/>
      <w:lvlJc w:val="left"/>
      <w:pPr>
        <w:ind w:left="2040" w:hanging="300"/>
        <w:jc w:val="right"/>
      </w:pPr>
      <w:rPr>
        <w:rFonts w:ascii="Adobe Garamond Pro" w:eastAsia="Adobe Garamond Pro" w:hAnsi="Adobe Garamond Pro" w:cs="Adobe Garamond Pro" w:hint="default"/>
        <w:color w:val="231F20"/>
        <w:spacing w:val="-8"/>
        <w:w w:val="99"/>
        <w:sz w:val="24"/>
        <w:szCs w:val="24"/>
      </w:rPr>
    </w:lvl>
    <w:lvl w:ilvl="1" w:tplc="EAB4A50E">
      <w:start w:val="1"/>
      <w:numFmt w:val="lowerLetter"/>
      <w:lvlText w:val="%2."/>
      <w:lvlJc w:val="left"/>
      <w:pPr>
        <w:ind w:left="2340" w:hanging="300"/>
      </w:pPr>
      <w:rPr>
        <w:rFonts w:ascii="Adobe Garamond Pro" w:eastAsia="Adobe Garamond Pro" w:hAnsi="Adobe Garamond Pro" w:cs="Adobe Garamond Pro" w:hint="default"/>
        <w:i/>
        <w:color w:val="231F20"/>
        <w:spacing w:val="-6"/>
        <w:w w:val="100"/>
        <w:sz w:val="24"/>
        <w:szCs w:val="24"/>
      </w:rPr>
    </w:lvl>
    <w:lvl w:ilvl="2" w:tplc="7F8A4B8E">
      <w:numFmt w:val="bullet"/>
      <w:lvlText w:val="•"/>
      <w:lvlJc w:val="left"/>
      <w:pPr>
        <w:ind w:left="3317" w:hanging="300"/>
      </w:pPr>
      <w:rPr>
        <w:rFonts w:hint="default"/>
      </w:rPr>
    </w:lvl>
    <w:lvl w:ilvl="3" w:tplc="E1807480">
      <w:numFmt w:val="bullet"/>
      <w:lvlText w:val="•"/>
      <w:lvlJc w:val="left"/>
      <w:pPr>
        <w:ind w:left="4295" w:hanging="300"/>
      </w:pPr>
      <w:rPr>
        <w:rFonts w:hint="default"/>
      </w:rPr>
    </w:lvl>
    <w:lvl w:ilvl="4" w:tplc="DD9AE2C8">
      <w:numFmt w:val="bullet"/>
      <w:lvlText w:val="•"/>
      <w:lvlJc w:val="left"/>
      <w:pPr>
        <w:ind w:left="5273" w:hanging="300"/>
      </w:pPr>
      <w:rPr>
        <w:rFonts w:hint="default"/>
      </w:rPr>
    </w:lvl>
    <w:lvl w:ilvl="5" w:tplc="94B68E96">
      <w:numFmt w:val="bullet"/>
      <w:lvlText w:val="•"/>
      <w:lvlJc w:val="left"/>
      <w:pPr>
        <w:ind w:left="6251" w:hanging="300"/>
      </w:pPr>
      <w:rPr>
        <w:rFonts w:hint="default"/>
      </w:rPr>
    </w:lvl>
    <w:lvl w:ilvl="6" w:tplc="A47815A2">
      <w:numFmt w:val="bullet"/>
      <w:lvlText w:val="•"/>
      <w:lvlJc w:val="left"/>
      <w:pPr>
        <w:ind w:left="7228" w:hanging="300"/>
      </w:pPr>
      <w:rPr>
        <w:rFonts w:hint="default"/>
      </w:rPr>
    </w:lvl>
    <w:lvl w:ilvl="7" w:tplc="6174F88C">
      <w:numFmt w:val="bullet"/>
      <w:lvlText w:val="•"/>
      <w:lvlJc w:val="left"/>
      <w:pPr>
        <w:ind w:left="8206" w:hanging="300"/>
      </w:pPr>
      <w:rPr>
        <w:rFonts w:hint="default"/>
      </w:rPr>
    </w:lvl>
    <w:lvl w:ilvl="8" w:tplc="C33ED188">
      <w:numFmt w:val="bullet"/>
      <w:lvlText w:val="•"/>
      <w:lvlJc w:val="left"/>
      <w:pPr>
        <w:ind w:left="9184" w:hanging="300"/>
      </w:pPr>
      <w:rPr>
        <w:rFonts w:hint="default"/>
      </w:rPr>
    </w:lvl>
  </w:abstractNum>
  <w:abstractNum w:abstractNumId="5" w15:restartNumberingAfterBreak="0">
    <w:nsid w:val="7BE7217B"/>
    <w:multiLevelType w:val="hybridMultilevel"/>
    <w:tmpl w:val="7A245BDC"/>
    <w:lvl w:ilvl="0" w:tplc="352EA52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818"/>
    <w:rsid w:val="00056341"/>
    <w:rsid w:val="002204C5"/>
    <w:rsid w:val="00267283"/>
    <w:rsid w:val="002C1C53"/>
    <w:rsid w:val="00343729"/>
    <w:rsid w:val="00356E79"/>
    <w:rsid w:val="003C35C5"/>
    <w:rsid w:val="004B2A0B"/>
    <w:rsid w:val="00583079"/>
    <w:rsid w:val="005C52BB"/>
    <w:rsid w:val="00643509"/>
    <w:rsid w:val="007F7C46"/>
    <w:rsid w:val="009E7818"/>
    <w:rsid w:val="00A0107E"/>
    <w:rsid w:val="00B52D52"/>
    <w:rsid w:val="00B54BA7"/>
    <w:rsid w:val="00B71261"/>
    <w:rsid w:val="00C76983"/>
    <w:rsid w:val="00D347F7"/>
    <w:rsid w:val="00EA7A49"/>
    <w:rsid w:val="00ED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929FB"/>
  <w15:chartTrackingRefBased/>
  <w15:docId w15:val="{AE231D17-147D-4B16-BDDF-1731362D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12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2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204C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35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01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712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712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BDE4C-4D19-4B38-83A8-BB158580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Shoshana Katzman</dc:creator>
  <cp:keywords/>
  <dc:description/>
  <cp:lastModifiedBy>Shoshana Katzman</cp:lastModifiedBy>
  <cp:revision>2</cp:revision>
  <dcterms:created xsi:type="dcterms:W3CDTF">2022-07-16T11:52:00Z</dcterms:created>
  <dcterms:modified xsi:type="dcterms:W3CDTF">2022-07-16T11:52:00Z</dcterms:modified>
</cp:coreProperties>
</file>